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7F65F" w14:textId="77777777" w:rsidR="00526BF3" w:rsidRDefault="00F92268" w:rsidP="00850792">
      <w:pPr>
        <w:pStyle w:val="BodyText"/>
        <w:rPr>
          <w:sz w:val="6"/>
          <w:szCs w:val="6"/>
        </w:rPr>
        <w:sectPr w:rsidR="00526BF3" w:rsidSect="00371E6D">
          <w:footerReference w:type="default" r:id="rId11"/>
          <w:footerReference w:type="first" r:id="rId12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64AA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A64AA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1F3F673" w:rsidR="00F92268" w:rsidRPr="00A64AA6" w:rsidRDefault="00A64AA6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A64AA6">
              <w:rPr>
                <w:rFonts w:cs="Arial"/>
                <w:sz w:val="16"/>
                <w:szCs w:val="16"/>
              </w:rPr>
              <w:t>2050-A</w:t>
            </w:r>
          </w:p>
        </w:tc>
      </w:tr>
    </w:tbl>
    <w:p w14:paraId="3F4DE49F" w14:textId="60855B81" w:rsidR="004B15BB" w:rsidRPr="00BD1CC1" w:rsidRDefault="00226550" w:rsidP="00226550">
      <w:pPr>
        <w:pStyle w:val="Heading1"/>
        <w:spacing w:before="240"/>
      </w:pPr>
      <w:r w:rsidRPr="00846EF6">
        <w:t>Specialty Guideline Management</w:t>
      </w:r>
      <w:r w:rsidR="0013414B">
        <w:br/>
      </w:r>
      <w:r w:rsidR="0013414B" w:rsidRPr="0013414B">
        <w:t>Cerdelga</w:t>
      </w:r>
    </w:p>
    <w:p w14:paraId="78861C92" w14:textId="77145C5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F22144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A1A07">
        <w:t>Over-the-counter (</w:t>
      </w:r>
      <w:r w:rsidRPr="00BD1CC1">
        <w:t>OTC</w:t>
      </w:r>
      <w:r w:rsidR="002A1A07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469FEAF" w:rsidR="00585FFF" w:rsidRPr="00BD1CC1" w:rsidRDefault="00226550" w:rsidP="0093675E">
            <w:pPr>
              <w:pStyle w:val="BodyText"/>
              <w:spacing w:after="0"/>
            </w:pPr>
            <w:r w:rsidRPr="00846EF6">
              <w:t>Cerdelga</w:t>
            </w:r>
          </w:p>
        </w:tc>
        <w:tc>
          <w:tcPr>
            <w:tcW w:w="5595" w:type="dxa"/>
          </w:tcPr>
          <w:p w14:paraId="7E26A004" w14:textId="44B1797A" w:rsidR="00585FFF" w:rsidRPr="00BD1CC1" w:rsidRDefault="00846EF6" w:rsidP="00D21D0C">
            <w:pPr>
              <w:pStyle w:val="BodyText"/>
              <w:spacing w:after="0"/>
            </w:pPr>
            <w:r w:rsidRPr="00846EF6">
              <w:t>eliglustat</w:t>
            </w:r>
          </w:p>
        </w:tc>
      </w:tr>
    </w:tbl>
    <w:bookmarkEnd w:id="0"/>
    <w:p w14:paraId="14CE6108" w14:textId="495C19A9" w:rsidR="00FC1AAD" w:rsidRPr="00226550" w:rsidRDefault="00ED052F" w:rsidP="00ED052F">
      <w:pPr>
        <w:pStyle w:val="Heading2"/>
      </w:pPr>
      <w:r>
        <w:t>Indications</w:t>
      </w:r>
    </w:p>
    <w:p w14:paraId="21AAB2B0" w14:textId="673A7497" w:rsidR="00AD4DFC" w:rsidRPr="00AD4DFC" w:rsidRDefault="00AD4DFC" w:rsidP="00AD4DFC">
      <w:pPr>
        <w:pStyle w:val="BodyText"/>
      </w:pPr>
      <w:r w:rsidRPr="00AD4DFC">
        <w:t xml:space="preserve">The indications below including FDA-approved indications and compendial uses are considered a covered benefit provided that all the approval criteria are </w:t>
      </w:r>
      <w:proofErr w:type="gramStart"/>
      <w:r w:rsidRPr="00AD4DFC">
        <w:t>met</w:t>
      </w:r>
      <w:proofErr w:type="gramEnd"/>
      <w:r w:rsidRPr="00AD4DFC">
        <w:t xml:space="preserve"> and the member has no exclusions to the prescribed therapy.</w:t>
      </w:r>
    </w:p>
    <w:p w14:paraId="134B5687" w14:textId="5B4E713D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3A6A8D" w:rsidRPr="00D144C3">
        <w:rPr>
          <w:vertAlign w:val="superscript"/>
        </w:rPr>
        <w:t>1</w:t>
      </w:r>
    </w:p>
    <w:p w14:paraId="52C3D4B8" w14:textId="7DFD4A76" w:rsidR="00AD4DFC" w:rsidRPr="00BD1CC1" w:rsidRDefault="00AD4DFC" w:rsidP="00ED052F">
      <w:pPr>
        <w:pStyle w:val="BodyText"/>
      </w:pPr>
      <w:r w:rsidRPr="00AD4DFC">
        <w:t>Cerdelga is indicated for the long-term treatment of adult patients with Gaucher disease type 1</w:t>
      </w:r>
      <w:r w:rsidR="00FC01EB">
        <w:t xml:space="preserve"> (GD1)</w:t>
      </w:r>
      <w:r w:rsidRPr="00AD4DFC">
        <w:t xml:space="preserve"> who are CYP2D6 extensive metabolizers (EMs), intermediate metabolizers (IMs), or poor metabolizers (PMs) as detected by an FDA-cleared test.</w:t>
      </w:r>
    </w:p>
    <w:p w14:paraId="48085E54" w14:textId="6F0E5B36" w:rsidR="009A5649" w:rsidRPr="008445A6" w:rsidRDefault="009A5649" w:rsidP="00226550">
      <w:pPr>
        <w:pStyle w:val="Heading4"/>
      </w:pPr>
      <w:r w:rsidRPr="008445A6">
        <w:t>Limitations of Use</w:t>
      </w:r>
    </w:p>
    <w:p w14:paraId="624AEA5A" w14:textId="77777777" w:rsidR="00846EF6" w:rsidRDefault="00846EF6" w:rsidP="00846EF6">
      <w:pPr>
        <w:pStyle w:val="BodyText"/>
      </w:pPr>
      <w:r>
        <w:t>Patients who are CYP2D6 ultra-rapid metabolizers (URMs) may not achieve adequate concentrations of Cerdelga to achieve a therapeutic effect. A specific dosage cannot be recommended for those patients whose CYP2D6 genotype cannot be determined (indeterminate metabolizers).</w:t>
      </w:r>
    </w:p>
    <w:p w14:paraId="6785F015" w14:textId="60AEE616" w:rsidR="00771E80" w:rsidRDefault="00771E80" w:rsidP="00846EF6">
      <w:pPr>
        <w:pStyle w:val="BodyText"/>
      </w:pPr>
      <w:r w:rsidRPr="00771E80">
        <w:t>All other indications are considered experimental/investigational and not medically necessary.</w:t>
      </w:r>
    </w:p>
    <w:p w14:paraId="36381B6D" w14:textId="091E8B12" w:rsidR="000D2496" w:rsidRPr="00BD1CC1" w:rsidRDefault="000D2496" w:rsidP="00B765B6">
      <w:pPr>
        <w:pStyle w:val="Heading2"/>
        <w:keepLines/>
        <w:tabs>
          <w:tab w:val="left" w:pos="7223"/>
        </w:tabs>
      </w:pPr>
      <w:r w:rsidRPr="00BD1CC1">
        <w:lastRenderedPageBreak/>
        <w:t>Documentation</w:t>
      </w:r>
    </w:p>
    <w:p w14:paraId="70725480" w14:textId="02121090" w:rsidR="00846EF6" w:rsidRDefault="00846EF6" w:rsidP="0013414B">
      <w:pPr>
        <w:pStyle w:val="BodyText"/>
        <w:keepNext/>
        <w:keepLines/>
      </w:pPr>
      <w:r>
        <w:t>Submission of the following information is necessary to initiate the prior authorization review:</w:t>
      </w:r>
    </w:p>
    <w:p w14:paraId="6D209B8C" w14:textId="2B031CF6" w:rsidR="00846EF6" w:rsidRDefault="00846EF6" w:rsidP="0037517F">
      <w:pPr>
        <w:pStyle w:val="ListParagraph"/>
        <w:keepLines/>
        <w:numPr>
          <w:ilvl w:val="0"/>
          <w:numId w:val="26"/>
        </w:numPr>
      </w:pPr>
      <w:r>
        <w:t>Beta-glucocerebrosidase</w:t>
      </w:r>
      <w:r w:rsidR="00A808F0">
        <w:t xml:space="preserve"> (glucosidase)</w:t>
      </w:r>
      <w:r>
        <w:t xml:space="preserve"> enzyme assay or genetic testing results supporting diagnosis, and</w:t>
      </w:r>
    </w:p>
    <w:p w14:paraId="45D8DF5E" w14:textId="73AF94E0" w:rsidR="00846EF6" w:rsidRDefault="00846EF6" w:rsidP="0037517F">
      <w:pPr>
        <w:pStyle w:val="ListParagraph"/>
        <w:keepLines/>
        <w:numPr>
          <w:ilvl w:val="0"/>
          <w:numId w:val="26"/>
        </w:numPr>
      </w:pPr>
      <w:r>
        <w:t>The results of the CYP2D6 test</w:t>
      </w:r>
      <w:r w:rsidR="006211E1">
        <w:t>.</w:t>
      </w:r>
    </w:p>
    <w:p w14:paraId="19055259" w14:textId="1876368F" w:rsidR="00A808F0" w:rsidRDefault="00A808F0" w:rsidP="00A808F0">
      <w:pPr>
        <w:pStyle w:val="Heading2"/>
      </w:pPr>
      <w:r>
        <w:t>Prescriber Specialties</w:t>
      </w:r>
    </w:p>
    <w:p w14:paraId="712219DF" w14:textId="4BF02EBD" w:rsidR="00A808F0" w:rsidRPr="00A808F0" w:rsidRDefault="00A808F0" w:rsidP="00B765B6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0F11A7AC" w14:textId="0E2E70BA" w:rsidR="006C5786" w:rsidRPr="00BD1CC1" w:rsidRDefault="006211E1">
      <w:pPr>
        <w:pStyle w:val="Heading2"/>
        <w:rPr>
          <w:rFonts w:eastAsia="Arial"/>
        </w:rPr>
      </w:pPr>
      <w:r>
        <w:rPr>
          <w:rFonts w:eastAsia="Arial"/>
        </w:rPr>
        <w:t xml:space="preserve">Coverage </w:t>
      </w:r>
      <w:r w:rsidR="00771E80" w:rsidRPr="0071466B">
        <w:rPr>
          <w:rFonts w:eastAsia="Arial"/>
        </w:rPr>
        <w:t>Criteria</w:t>
      </w:r>
    </w:p>
    <w:p w14:paraId="77612C48" w14:textId="726C9A76" w:rsidR="0071466B" w:rsidRDefault="0071466B" w:rsidP="00226550">
      <w:pPr>
        <w:pStyle w:val="Heading3"/>
        <w:keepNext w:val="0"/>
      </w:pPr>
      <w:r>
        <w:t>Gaucher disease type 1</w:t>
      </w:r>
      <w:r w:rsidR="003A6A8D" w:rsidRPr="00D144C3">
        <w:rPr>
          <w:vertAlign w:val="superscript"/>
        </w:rPr>
        <w:t>1</w:t>
      </w:r>
    </w:p>
    <w:p w14:paraId="65ECCAC7" w14:textId="77777777" w:rsidR="0071466B" w:rsidRDefault="0071466B" w:rsidP="0071466B">
      <w:pPr>
        <w:pStyle w:val="BodyText"/>
      </w:pPr>
      <w:r>
        <w:t>Authorization of 12 months may be granted for treatment of Gaucher disease type 1 when all of the following criteria are met:</w:t>
      </w:r>
    </w:p>
    <w:p w14:paraId="1DCED2FC" w14:textId="3CA464ED" w:rsidR="00F22FBA" w:rsidRDefault="00F22FBA" w:rsidP="00226550">
      <w:pPr>
        <w:pStyle w:val="ListParagraph"/>
        <w:keepNext/>
        <w:numPr>
          <w:ilvl w:val="0"/>
          <w:numId w:val="26"/>
        </w:numPr>
      </w:pPr>
      <w:r>
        <w:t xml:space="preserve">Member is </w:t>
      </w:r>
      <w:r w:rsidR="005F187A">
        <w:t>18</w:t>
      </w:r>
      <w:r>
        <w:t xml:space="preserve"> years of age or older.</w:t>
      </w:r>
    </w:p>
    <w:p w14:paraId="482C219D" w14:textId="4FE1A048" w:rsidR="0071466B" w:rsidRDefault="0071466B" w:rsidP="00226550">
      <w:pPr>
        <w:pStyle w:val="ListParagraph"/>
        <w:keepNext/>
        <w:numPr>
          <w:ilvl w:val="0"/>
          <w:numId w:val="26"/>
        </w:numPr>
      </w:pPr>
      <w:r>
        <w:t>Diagnosis of Gaucher disease was confirmed by enzyme assay demonstrating a deficiency of beta-glucocerebrosidase (glucosidase) enzyme activity or by genetic testing</w:t>
      </w:r>
      <w:r w:rsidR="00F22FBA">
        <w:t>.</w:t>
      </w:r>
    </w:p>
    <w:p w14:paraId="30708AA0" w14:textId="588E52CB" w:rsidR="00165258" w:rsidRPr="00165258" w:rsidRDefault="0071466B" w:rsidP="00226550">
      <w:pPr>
        <w:pStyle w:val="ListParagraph"/>
        <w:keepNext/>
        <w:numPr>
          <w:ilvl w:val="0"/>
          <w:numId w:val="26"/>
        </w:numPr>
      </w:pPr>
      <w:r>
        <w:t>Member is a CYP2D6 extensive metabolizer, an intermediate metabolizer, or a poor metabolizer as detected by an FDA-cleared test</w:t>
      </w:r>
      <w:r w:rsidR="00F22FBA">
        <w:t>.</w:t>
      </w:r>
    </w:p>
    <w:p w14:paraId="3A643EC3" w14:textId="04DC2A0F" w:rsidR="00A501AC" w:rsidRPr="00BD1CC1" w:rsidRDefault="00A501AC" w:rsidP="00A501AC">
      <w:pPr>
        <w:pStyle w:val="Heading2"/>
      </w:pPr>
      <w:r>
        <w:t>Continuation of Therapy</w:t>
      </w:r>
    </w:p>
    <w:p w14:paraId="7F326920" w14:textId="1CCF94B8" w:rsidR="3A0D8A18" w:rsidRDefault="3A0D8A18" w:rsidP="1E8E3FFA">
      <w:pPr>
        <w:pStyle w:val="Heading3"/>
        <w:keepNext w:val="0"/>
      </w:pPr>
      <w:r>
        <w:t>Gaucher disease type 1</w:t>
      </w:r>
      <w:r w:rsidRPr="1E8E3FFA">
        <w:rPr>
          <w:vertAlign w:val="superscript"/>
        </w:rPr>
        <w:t>1</w:t>
      </w:r>
    </w:p>
    <w:p w14:paraId="3776CC90" w14:textId="7C867A80" w:rsidR="00846EF6" w:rsidRDefault="00846EF6" w:rsidP="00846EF6">
      <w:pPr>
        <w:pStyle w:val="BodyText"/>
      </w:pPr>
      <w:r>
        <w:t xml:space="preserve">Authorization of 12 months may be granted for continued treatment of an indication listed in </w:t>
      </w:r>
      <w:r w:rsidR="3C256358">
        <w:t>the coverage criteria</w:t>
      </w:r>
      <w:r>
        <w:t xml:space="preserve"> </w:t>
      </w:r>
      <w:r w:rsidR="3DE98FF9">
        <w:t xml:space="preserve">section </w:t>
      </w:r>
      <w:r>
        <w:t>when all of the following criteria are met:</w:t>
      </w:r>
    </w:p>
    <w:p w14:paraId="63928E0C" w14:textId="301205BB" w:rsidR="00846EF6" w:rsidRDefault="00846EF6" w:rsidP="00226550">
      <w:pPr>
        <w:pStyle w:val="ListParagraph"/>
        <w:keepNext/>
        <w:numPr>
          <w:ilvl w:val="0"/>
          <w:numId w:val="26"/>
        </w:numPr>
      </w:pPr>
      <w:r>
        <w:lastRenderedPageBreak/>
        <w:t>Member meets the criteria for initial approval.</w:t>
      </w:r>
    </w:p>
    <w:p w14:paraId="1C67FA2B" w14:textId="17F39153" w:rsidR="00312E1C" w:rsidRPr="00BD1CC1" w:rsidRDefault="00846EF6" w:rsidP="00226550">
      <w:pPr>
        <w:pStyle w:val="ListParagraph"/>
        <w:keepNext/>
        <w:numPr>
          <w:ilvl w:val="0"/>
          <w:numId w:val="26"/>
        </w:numPr>
      </w:pPr>
      <w:r>
        <w:t>Member is not experiencing an inadequate response or any intolerable adverse events from therapy</w:t>
      </w:r>
      <w:r w:rsidR="5A427FFD">
        <w:t>.</w:t>
      </w:r>
    </w:p>
    <w:p w14:paraId="17409917" w14:textId="4A33F9A7" w:rsidR="00C96B3F" w:rsidRPr="008D1B34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36B01ED5" w14:textId="0B2D55E3" w:rsidR="00B21524" w:rsidRPr="00010D77" w:rsidRDefault="00846EF6" w:rsidP="00D144C3">
      <w:pPr>
        <w:pStyle w:val="ReferenceOrdered"/>
        <w:keepNext w:val="0"/>
        <w:numPr>
          <w:ilvl w:val="0"/>
          <w:numId w:val="2"/>
        </w:numPr>
        <w:snapToGrid w:val="0"/>
        <w:spacing w:after="120"/>
        <w:ind w:left="357" w:hanging="357"/>
      </w:pPr>
      <w:r w:rsidRPr="00846EF6">
        <w:t xml:space="preserve">Cerdelga [package insert]. Cambridge, MA: Genzyme Corporation; </w:t>
      </w:r>
      <w:r w:rsidR="00572F3D" w:rsidRPr="00846EF6">
        <w:t>J</w:t>
      </w:r>
      <w:r w:rsidR="00572F3D">
        <w:t>anuary 2024</w:t>
      </w:r>
      <w:r w:rsidRPr="00846EF6">
        <w:t>.</w:t>
      </w:r>
    </w:p>
    <w:sectPr w:rsidR="00B21524" w:rsidRPr="00010D77" w:rsidSect="00C75A5E">
      <w:headerReference w:type="default" r:id="rId14"/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8C8B" w14:textId="77777777" w:rsidR="00155B27" w:rsidRDefault="00155B27">
      <w:r>
        <w:separator/>
      </w:r>
    </w:p>
  </w:endnote>
  <w:endnote w:type="continuationSeparator" w:id="0">
    <w:p w14:paraId="6EB54BEF" w14:textId="77777777" w:rsidR="00155B27" w:rsidRDefault="00155B27">
      <w:r>
        <w:continuationSeparator/>
      </w:r>
    </w:p>
  </w:endnote>
  <w:endnote w:type="continuationNotice" w:id="1">
    <w:p w14:paraId="74B4AC38" w14:textId="77777777" w:rsidR="00155B27" w:rsidRDefault="00155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830C5" w14:textId="607C8FE2" w:rsidR="00AA4A9F" w:rsidRPr="00EC47B6" w:rsidRDefault="00AA4A9F" w:rsidP="00AA4A9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26BF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7ABD" w:rsidRPr="00E37ABD">
      <w:rPr>
        <w:rFonts w:cs="Arial"/>
        <w:noProof/>
        <w:sz w:val="16"/>
        <w:szCs w:val="16"/>
        <w:lang w:val="pt-BR"/>
      </w:rPr>
      <w:t>Cerdelga</w:t>
    </w:r>
    <w:r w:rsidR="00E37ABD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2050-A</w:t>
    </w:r>
    <w:r w:rsidR="00E37ABD" w:rsidRPr="00E37ABD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526BF3">
      <w:rPr>
        <w:rFonts w:cs="Arial"/>
        <w:snapToGrid w:val="0"/>
        <w:color w:val="000000"/>
        <w:sz w:val="16"/>
        <w:lang w:val="pt-BR"/>
      </w:rPr>
      <w:tab/>
      <w:t xml:space="preserve">© </w:t>
    </w:r>
    <w:r w:rsidR="00FF6CEB" w:rsidRPr="00526BF3">
      <w:rPr>
        <w:rFonts w:cs="Arial"/>
        <w:snapToGrid w:val="0"/>
        <w:color w:val="000000"/>
        <w:sz w:val="16"/>
        <w:lang w:val="pt-BR"/>
      </w:rPr>
      <w:t>202</w:t>
    </w:r>
    <w:r w:rsidR="00FF6CEB">
      <w:rPr>
        <w:rFonts w:cs="Arial"/>
        <w:snapToGrid w:val="0"/>
        <w:color w:val="000000"/>
        <w:sz w:val="16"/>
        <w:lang w:val="pt-BR"/>
      </w:rPr>
      <w:t>5</w:t>
    </w:r>
    <w:r w:rsidR="00FF6CEB" w:rsidRPr="00526BF3">
      <w:rPr>
        <w:rFonts w:cs="Arial"/>
        <w:snapToGrid w:val="0"/>
        <w:color w:val="000000"/>
        <w:sz w:val="16"/>
        <w:lang w:val="pt-BR"/>
      </w:rPr>
      <w:t xml:space="preserve"> </w:t>
    </w:r>
    <w:r w:rsidRPr="00526BF3">
      <w:rPr>
        <w:rFonts w:cs="Arial"/>
        <w:snapToGrid w:val="0"/>
        <w:color w:val="000000"/>
        <w:sz w:val="16"/>
        <w:lang w:val="pt-BR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4413A512" w14:textId="77777777" w:rsidR="00AA4A9F" w:rsidRPr="00EC47B6" w:rsidRDefault="00AA4A9F" w:rsidP="00AA4A9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724C85B" w14:textId="40B08386" w:rsidR="00AA4A9F" w:rsidRDefault="00AA4A9F" w:rsidP="00D144C3">
    <w:pPr>
      <w:pStyle w:val="Footer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B117" w14:textId="4AD74547" w:rsidR="0037517F" w:rsidRPr="00EC47B6" w:rsidRDefault="0037517F" w:rsidP="0037517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26BF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7ABD" w:rsidRPr="00E37ABD">
      <w:rPr>
        <w:rFonts w:cs="Arial"/>
        <w:noProof/>
        <w:sz w:val="16"/>
        <w:szCs w:val="16"/>
        <w:lang w:val="pt-BR"/>
      </w:rPr>
      <w:t>Cerdelga</w:t>
    </w:r>
    <w:r w:rsidR="00E37ABD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2050-A</w:t>
    </w:r>
    <w:r w:rsidR="00E37ABD" w:rsidRPr="00E37ABD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526BF3">
      <w:rPr>
        <w:rFonts w:cs="Arial"/>
        <w:snapToGrid w:val="0"/>
        <w:color w:val="000000"/>
        <w:sz w:val="16"/>
        <w:lang w:val="pt-BR"/>
      </w:rPr>
      <w:tab/>
      <w:t xml:space="preserve">© </w:t>
    </w:r>
    <w:r w:rsidR="00FF6CEB" w:rsidRPr="00526BF3">
      <w:rPr>
        <w:rFonts w:cs="Arial"/>
        <w:snapToGrid w:val="0"/>
        <w:color w:val="000000"/>
        <w:sz w:val="16"/>
        <w:lang w:val="pt-BR"/>
      </w:rPr>
      <w:t>202</w:t>
    </w:r>
    <w:r w:rsidR="00FF6CEB">
      <w:rPr>
        <w:rFonts w:cs="Arial"/>
        <w:snapToGrid w:val="0"/>
        <w:color w:val="000000"/>
        <w:sz w:val="16"/>
        <w:lang w:val="pt-BR"/>
      </w:rPr>
      <w:t>5</w:t>
    </w:r>
    <w:r w:rsidR="00FF6CEB" w:rsidRPr="00526BF3">
      <w:rPr>
        <w:rFonts w:cs="Arial"/>
        <w:snapToGrid w:val="0"/>
        <w:color w:val="000000"/>
        <w:sz w:val="16"/>
        <w:lang w:val="pt-BR"/>
      </w:rPr>
      <w:t xml:space="preserve"> </w:t>
    </w:r>
    <w:r w:rsidRPr="00526BF3">
      <w:rPr>
        <w:rFonts w:cs="Arial"/>
        <w:snapToGrid w:val="0"/>
        <w:color w:val="000000"/>
        <w:sz w:val="16"/>
        <w:lang w:val="pt-BR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81185F0" w14:textId="55E9C137" w:rsidR="0037517F" w:rsidRPr="00EC47B6" w:rsidRDefault="0037517F" w:rsidP="0037517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B5D713B" w14:textId="7E287024" w:rsidR="0037517F" w:rsidRPr="00F50D98" w:rsidRDefault="0037517F" w:rsidP="00D144C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0E77" w14:textId="62A6CFBB" w:rsidR="0013414B" w:rsidRPr="0013414B" w:rsidRDefault="0013414B" w:rsidP="00134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2BB6" w14:textId="77777777" w:rsidR="00155B27" w:rsidRDefault="00155B27">
      <w:r>
        <w:separator/>
      </w:r>
    </w:p>
  </w:footnote>
  <w:footnote w:type="continuationSeparator" w:id="0">
    <w:p w14:paraId="1377ABB4" w14:textId="77777777" w:rsidR="00155B27" w:rsidRDefault="00155B27">
      <w:r>
        <w:continuationSeparator/>
      </w:r>
    </w:p>
  </w:footnote>
  <w:footnote w:type="continuationNotice" w:id="1">
    <w:p w14:paraId="164D930D" w14:textId="77777777" w:rsidR="00155B27" w:rsidRDefault="00155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7517F" w:rsidRPr="00BD1CC1" w14:paraId="1D5E4122" w14:textId="77777777" w:rsidTr="00366589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768D14A7" w14:textId="77777777" w:rsidR="0037517F" w:rsidRPr="00226550" w:rsidRDefault="0037517F" w:rsidP="0037517F">
          <w:pPr>
            <w:pStyle w:val="Header"/>
            <w:rPr>
              <w:rFonts w:cs="Arial"/>
              <w:sz w:val="16"/>
              <w:szCs w:val="16"/>
            </w:rPr>
          </w:pPr>
          <w:r w:rsidRPr="00226550">
            <w:rPr>
              <w:rFonts w:cs="Arial"/>
              <w:sz w:val="16"/>
              <w:szCs w:val="16"/>
            </w:rPr>
            <w:t>Reference number(s)</w:t>
          </w:r>
        </w:p>
      </w:tc>
    </w:tr>
    <w:tr w:rsidR="0037517F" w:rsidRPr="00BD1CC1" w14:paraId="39C6130D" w14:textId="77777777" w:rsidTr="00366589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F56F92" w14:textId="413EDB9C" w:rsidR="0037517F" w:rsidRPr="00226550" w:rsidRDefault="0037517F" w:rsidP="0037517F">
          <w:pPr>
            <w:pStyle w:val="Header"/>
            <w:rPr>
              <w:rFonts w:cs="Arial"/>
              <w:sz w:val="16"/>
              <w:szCs w:val="16"/>
            </w:rPr>
          </w:pPr>
          <w:r w:rsidRPr="00226550">
            <w:rPr>
              <w:rFonts w:cs="Arial"/>
              <w:sz w:val="16"/>
              <w:szCs w:val="16"/>
            </w:rPr>
            <w:t>2050</w:t>
          </w:r>
          <w:r w:rsidR="00D144C3">
            <w:rPr>
              <w:rFonts w:cs="Arial"/>
              <w:sz w:val="16"/>
              <w:szCs w:val="16"/>
            </w:rPr>
            <w:t>-A</w:t>
          </w:r>
        </w:p>
      </w:tc>
    </w:tr>
  </w:tbl>
  <w:p w14:paraId="56BEF36A" w14:textId="77777777" w:rsidR="0037517F" w:rsidRPr="00D144C3" w:rsidRDefault="0037517F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7517F" w:rsidRPr="00BD1CC1" w14:paraId="5B8F0A99" w14:textId="77777777" w:rsidTr="00366589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4E638917" w14:textId="77777777" w:rsidR="0037517F" w:rsidRPr="00A64AA6" w:rsidRDefault="0037517F" w:rsidP="0037517F">
          <w:pPr>
            <w:pStyle w:val="Header"/>
            <w:rPr>
              <w:rFonts w:cs="Arial"/>
              <w:sz w:val="16"/>
              <w:szCs w:val="16"/>
            </w:rPr>
          </w:pPr>
          <w:r w:rsidRPr="00A64AA6">
            <w:rPr>
              <w:rFonts w:cs="Arial"/>
              <w:sz w:val="16"/>
              <w:szCs w:val="16"/>
            </w:rPr>
            <w:t>Reference number(s)</w:t>
          </w:r>
        </w:p>
      </w:tc>
    </w:tr>
    <w:tr w:rsidR="0037517F" w:rsidRPr="00BD1CC1" w14:paraId="3EF490C1" w14:textId="77777777" w:rsidTr="00366589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968838" w14:textId="1B238D61" w:rsidR="0037517F" w:rsidRPr="00A64AA6" w:rsidRDefault="00A64AA6" w:rsidP="0037517F">
          <w:pPr>
            <w:pStyle w:val="Header"/>
            <w:rPr>
              <w:rFonts w:cs="Arial"/>
              <w:sz w:val="16"/>
              <w:szCs w:val="16"/>
            </w:rPr>
          </w:pPr>
          <w:r w:rsidRPr="00A64AA6">
            <w:rPr>
              <w:rFonts w:cs="Arial"/>
              <w:sz w:val="16"/>
              <w:szCs w:val="16"/>
            </w:rPr>
            <w:t>2050-A</w:t>
          </w:r>
        </w:p>
      </w:tc>
    </w:tr>
  </w:tbl>
  <w:p w14:paraId="20F0BBDB" w14:textId="77777777" w:rsidR="0037517F" w:rsidRDefault="00375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70049"/>
    <w:multiLevelType w:val="hybridMultilevel"/>
    <w:tmpl w:val="4FE8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97E85"/>
    <w:multiLevelType w:val="hybridMultilevel"/>
    <w:tmpl w:val="B5D2ADC2"/>
    <w:lvl w:ilvl="0" w:tplc="C568A58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F1DC2"/>
    <w:multiLevelType w:val="hybridMultilevel"/>
    <w:tmpl w:val="9A7050C6"/>
    <w:lvl w:ilvl="0" w:tplc="68F4B3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17EC0"/>
    <w:multiLevelType w:val="hybridMultilevel"/>
    <w:tmpl w:val="B2501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81246"/>
    <w:multiLevelType w:val="hybridMultilevel"/>
    <w:tmpl w:val="951C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10DC7"/>
    <w:multiLevelType w:val="hybridMultilevel"/>
    <w:tmpl w:val="DBACD21E"/>
    <w:lvl w:ilvl="0" w:tplc="008E7E2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29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9"/>
  </w:num>
  <w:num w:numId="26" w16cid:durableId="872156693">
    <w:abstractNumId w:val="24"/>
  </w:num>
  <w:num w:numId="27" w16cid:durableId="258485516">
    <w:abstractNumId w:val="12"/>
  </w:num>
  <w:num w:numId="28" w16cid:durableId="2074425564">
    <w:abstractNumId w:val="10"/>
  </w:num>
  <w:num w:numId="29" w16cid:durableId="1679425828">
    <w:abstractNumId w:val="28"/>
  </w:num>
  <w:num w:numId="30" w16cid:durableId="1869685622">
    <w:abstractNumId w:val="18"/>
  </w:num>
  <w:num w:numId="31" w16cid:durableId="141277100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58"/>
    <w:rsid w:val="000106D6"/>
    <w:rsid w:val="00010A20"/>
    <w:rsid w:val="00010D77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4D71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2772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14B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45B"/>
    <w:rsid w:val="00154B0F"/>
    <w:rsid w:val="00154E30"/>
    <w:rsid w:val="00155A51"/>
    <w:rsid w:val="00155B27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E2D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3EE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22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178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550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DE2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83E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07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1E6D"/>
    <w:rsid w:val="00372A21"/>
    <w:rsid w:val="00372FCD"/>
    <w:rsid w:val="0037333D"/>
    <w:rsid w:val="00374540"/>
    <w:rsid w:val="0037517F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A8D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B43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4C57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3C9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7B0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6F42"/>
    <w:rsid w:val="00517206"/>
    <w:rsid w:val="00520296"/>
    <w:rsid w:val="00520472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7EF"/>
    <w:rsid w:val="00526BF3"/>
    <w:rsid w:val="00527038"/>
    <w:rsid w:val="00527402"/>
    <w:rsid w:val="005276C8"/>
    <w:rsid w:val="00527DF6"/>
    <w:rsid w:val="00530F8D"/>
    <w:rsid w:val="00531EE9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2F3D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354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87A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1E1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6B9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66B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1E80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6EF6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9EB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08D7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7C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890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013A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4C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3C4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ECF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4AA6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8F0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30F"/>
    <w:rsid w:val="00AA46E5"/>
    <w:rsid w:val="00AA46E6"/>
    <w:rsid w:val="00AA4A9F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DFC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524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5B6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871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1E81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1200"/>
    <w:rsid w:val="00C72424"/>
    <w:rsid w:val="00C73E8B"/>
    <w:rsid w:val="00C74F5C"/>
    <w:rsid w:val="00C75A5E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032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240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4C3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CF3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37CF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E05"/>
    <w:rsid w:val="00DB3F87"/>
    <w:rsid w:val="00DB41D7"/>
    <w:rsid w:val="00DB4476"/>
    <w:rsid w:val="00DB45FA"/>
    <w:rsid w:val="00DB5750"/>
    <w:rsid w:val="00DB5AEE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3FCD"/>
    <w:rsid w:val="00DD4185"/>
    <w:rsid w:val="00DD4EA3"/>
    <w:rsid w:val="00DD5193"/>
    <w:rsid w:val="00DD5970"/>
    <w:rsid w:val="00DD70A3"/>
    <w:rsid w:val="00DE02C1"/>
    <w:rsid w:val="00DE12D2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877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AAA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BD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205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FBA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A60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570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FC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1EB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8E7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CEB"/>
    <w:rsid w:val="00FF7695"/>
    <w:rsid w:val="1E8E3FFA"/>
    <w:rsid w:val="29729D5D"/>
    <w:rsid w:val="2BD1C996"/>
    <w:rsid w:val="342739A8"/>
    <w:rsid w:val="3A0D8A18"/>
    <w:rsid w:val="3C256358"/>
    <w:rsid w:val="3DE98FF9"/>
    <w:rsid w:val="4D1FAB2C"/>
    <w:rsid w:val="5A427FFD"/>
    <w:rsid w:val="62C780E2"/>
    <w:rsid w:val="63C4FD31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526BF3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526BF3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FD3111-6B92-455D-887F-E9E2B9524873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Cerdelga SGM 2050-A</vt:lpstr>
    </vt:vector>
  </TitlesOfParts>
  <Company>CVS Caremark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Cerdelga SGM 2050-A</dc:title>
  <dc:subject>Cerdelga SGM 2050-A</dc:subject>
  <dc:creator>CVS Caremark</dc:creator>
  <cp:keywords/>
  <cp:lastModifiedBy>Reynoso, Victor H</cp:lastModifiedBy>
  <cp:revision>7</cp:revision>
  <cp:lastPrinted>2024-04-04T07:41:00Z</cp:lastPrinted>
  <dcterms:created xsi:type="dcterms:W3CDTF">2025-04-26T19:40:00Z</dcterms:created>
  <dcterms:modified xsi:type="dcterms:W3CDTF">2025-05-07T15:48:00Z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